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63</w:t>
      </w:r>
    </w:p>
    <w:p>
      <w:r>
        <w:t>Bundesgericht (BGE), 2006-02-06, IT</w:t>
      </w:r>
    </w:p>
    <w:p>
      <w:r>
        <w:rPr>
          <w:b/>
        </w:rPr>
        <w:t xml:space="preserve">Quelle: </w:t>
      </w:r>
      <w:r>
        <w:t>https://mcp.opencaselaw.ch/entscheid/bge_132 IV 63</w:t>
      </w:r>
    </w:p>
    <w:p>
      <w:r>
        <w:t>FR: ATF 132 IV 63</w:t>
      </w:r>
    </w:p>
    <w:p>
      <w:r>
        <w:t>IT: DTF 132 IV 63</w:t>
      </w:r>
    </w:p>
    <w:p>
      <w:pPr>
        <w:pStyle w:val="Heading2"/>
      </w:pPr>
      <w:r>
        <w:t>Regeste</w:t>
      </w:r>
    </w:p>
    <w:p>
      <w:r>
        <w:t>Regeste a Art. 50 VStrR, Art. 321 StGB; Entsiegelung von Papieren und Datenträgern einer Anwaltskanzlei. Ausscheidung in einem dreistufigen Verfahren durch die Beschwerdekammer des Bundesstrafgerichts. Das folgende dreistufige Verfahren verletzt kein Bundesrecht: Zuerst werden die für die Untersuchung sachdienlichen Dokumente ausgesondert. Nachher wird bestimmt, welche dieser Dokumente unter das Anwaltsgeheimnis fallen. Bei den übrigen sachdienlichen Dokumenten werden schliesslich, soweit nötig, die Namen der Klienten zu deren Schutz abgedeckt oder durch Codes ersetzt; dafür wird bei Bedarf ein aussenstehender Sachverständiger beigezogen (E. 4).</w:t>
      </w:r>
    </w:p>
    <w:p>
      <w:r>
        <w:t>Regeste b Art. 33 Abs. 3 lit. a SGG; Zulässigkeit der Beschwerde bezüglich der Gerichtsgebühr. Zulässigkeit der Beschwerde an das Bundesgericht gegen die vom Bundesstrafgericht auferlegte Gerichtsgebühr, wenn dieser Punkt eng mit einer Zwangsmassnahme zusammenhängt (E. 5).</w:t>
      </w:r>
    </w:p>
    <w:p>
      <w:pPr>
        <w:pStyle w:val="Heading2"/>
      </w:pPr>
      <w:r>
        <w:t>Volltext</w:t>
      </w:r>
    </w:p>
    <w:p>
      <w:r>
        <w:t>Urteilskopf 132 IV 63 9. Estratto della sentenza della I Corte di diritto pubblico nella causa avv. A.A. e avv. B.A. contro Amministrazione federale delle contribuzioni e Corte dei reclami penali del Tribunale penale federale (ricorso) 1S.31/2005 del 6 febbraio 2006 Regeste a Art. 50 VStrR , Art. 321 StGB ; Entsiegelung von Papieren und Datenträgern einer Anwaltskanzlei. Ausscheidung in einem dreistufigen Verfahren durch die Beschwerdekammer des Bundesstrafgerichts. Das folgende dreistufige Verfahren verletzt kein Bundesrecht: Zuerst werden die für die Untersuchung sachdienlichen Dokumente ausgesondert. Nachher wird bestimmt, welche dieser Dokumente unter das Anwaltsgeheimnis fallen. Bei den übrigen sachdienlichen Dokumenten werden schliesslich, soweit nötig, die Namen der Klienten zu deren Schutz abgedeckt oder durch Codes ersetzt; dafür wird bei Bedarf ein aussenstehender Sachverständiger beigezogen (E. 4). Regeste b Art. 33 Abs. 3 lit. a SGG ; Zulässigkeit der Beschwerde bezüglich der Gerichtsgebühr. Zulässigkeit der Beschwerde an das Bundesgericht gegen die vom Bundesstrafgericht auferlegte Gerichtsgebühr, wenn dieser Punkt eng mit einer Zwangsmassnahme zusammenhängt (E. 5). Sachverhalt ab Seite 64 BGE 132 IV 63 S. 64 A. Il 24 dicembre 2004 l'Amministrazione federale delle contribuzioni (AFC) è stata autorizzata ad aprire un'inchiesta fiscale speciale nei confronti degli avvocati A.A. e B.A., quest'ultima titolare di uno studio legale e notarile a Lugano. Il legale è sospettato d'aver commesso gravi infrazioni fiscali per aver sottaciuto al fisco federale una parte importante della sua sostanza e dei suoi redditi imponibili, ricorrendo in particolare a conti bancari non dichiarati intestati a società di tipo "off-shore". Il 2/3 febbraio 2005 la Divisione delle inchieste speciali dell'AFC ha perquisito il citato studio legale, ponendo in luogo sicuro diversi documenti cartacei e informatici, sequestrando in seguito numerosi documenti, anch'essi posti sotto suggello. L'11 aprile 2005 l'AFC ha presentato alla Corte dei reclami penali del Tribunale penale federale una richiesta di levata dei sigilli sui documenti e sui supporti informatici sequestrati. B. Con sentenza dell'8 agosto 2005 la Corte dei reclami penali ha accolto la richiesta di dissuggellamento stabilendo per la cernita, che sarà effettuata dalla Corte medesima, una procedura in tre fasi; questa prevede dapprima la separazione dei documenti utili all'inchiesta da quelli che non lo sono, la distinzione in seguito di quelli coperti dal segreto professionale dell'avvocato da quelli che non lo sono e, infine, per i documenti restanti e utili all'inchiesta, a protezione dei clienti, la depennazione o la codificazione, se del caso, BGE 132 IV 63 S. 65 dei loro nomi, facendo capo, se necessario, alla collaborazione di un esperto esterno. C. Avverso questo giudizio gli avvocati A.A. e B.A. presentano un ricorso secondo l'art. 33 cpv. 3 lett. a della legge del 4 ottobre 2002 sul Tribunale penale federale (LTPF; RS 173.71). La Corte dei reclami penali, riconfermandosi nel giudizio impugnato, propone di respingere il ricorso. L'AFC propone la reiezione del gravame. Nelle osservazioni del 18 ottobre 2005 i ricorrenti si riconfermano nelle loro tesi e conclusioni. Il Tribunale federale ha respinto il ricorso. Erwägungen Dai considerandi: 4. 4.1 Confermata l'ammissibilità della perquisizione e del suggellamento, occorre esaminare ora la criticata procedura di levata dei sigilli. La competenza del Tribunale penale federale per statuire sulla domanda di dissuggellamento e procedere alla cernita è pacifica (cfr. DTF 130 II 302 ). La Corte dei reclami penali ha ritenuto che per stabilire se i ricorrenti abbiano effettivamente sottratto redditi al fisco è necessario poter accedere a tutti i documenti concernenti le loro attività remunerative, ciò che implica l'accesso agli incarti dei clienti dello studio legale allo scopo di controllare le modalità di fatturazione delle prestazioni, in pratica quindi gli importi fatturati e i conti bancari utilizzati. Ha ricordato che, in tale ambito, i clienti hanno diritto alla protezione della loro identità, nella misura in cui la loro rivelazione non sia necessaria ai fini dell'inchiesta fiscale, da cui la necessità di adottare un modo di operare che permetta di accedere alla documentazione e di tutelare nel contempo l'identità dei clienti. 4.2 La Corte ha quindi esaminato la possibilità di far intervenire un esperto neutrale, modalità, come visto, ammessa dalla giurisprudenza e dalla dottrina, alla quale accennavano anche i ricorrenti sulla base di un parere giuridico da loro prodotto. Al proposito essa ha rilevato tuttavia che una tale soluzione né è prevista dalla legge federale del 14 dicembre 1990 sull'imposta federale diretta (LIFD; RS 642.11) né dalla DPA (RS 313.0), ma dall'art. 57 della legge federale del 2 settembre 1999 concernente l'imposta sul valore aggiunto (LIVA; RS 641.20). Secondo questa norma le persone tenute a osservare il segreto professionale hanno l'obbligo di presentare i BGE 132 IV 63 S. 66 loro libri, ma possono celare i nomi dei clienti o sostituirli con codici; nei casi dubbi è data la possibilità, su richiesta, di designare esperti neutri come organi di controllo. La Corte ha poi ricordato che nel contesto dell'elaborazione della LIVA il Consiglio federale e il Parlamento concordavano sul fatto che i detentori di segreti, avvocati e notai, potessero in effetti tener segreta l'identità dei clienti nascondendo i loro nomi o sostituendoli con dei codici. 4.3 La Corte dei reclami penali, rilevato rettamente che non tutti gli atti raccolti nell'ambito di una perquisizione sono necessariamente utili ai fini dell'inchiesta, ha ritenuto giudizioso procedere alla cernita dei documenti rinvenuti presso lo studio legale sulla base di una procedura da svolgere in tre fasi e segnatamente nel modo seguente: a) distinguere i documenti utili all'inchiesta da quelli che non lo sono, ritenuto che questi ultimi devono essere restituiti ai ricorrenti; b) distinguere tra i documenti utili quelli concernenti l'attività tipica dell'avvocato e del notaio (coperti di regola dal segreto), da quelli che non lo sono (quindi non coperti dal segreto) e che possono pertanto essere presi in considerazione per l'inchiesta; c) garantire per i documenti restanti utili all'inchiesta la protezione dei clienti, per cui, nella misura in cui determinati fatti o nomi di persone non siano necessari per l'imposizione fiscale del detentore medesimo del segreto, i relativi nomi devono essere oscurati o sostituti con dei codici. La Corte dei reclami penali ha precisato che effettuerà essa stessa queste operazioni, facendo capo, se necessario, alla collaborazione di un esperto esterno, da essa nominato, ulteriormente, per l'esecuzione della terza fase. 4.4 La tesi dei ricorrenti secondo cui nell'ambito della perquisizione sussisterebbe un chiaro onere di allegare e di circostanziare, per ogni singolo incarto asportato e per ogni documento sequestrato, perché sarebbe significativo per l'inchiesta non regge, già per il fatto che l'autorità inquirente non può esaminare i documenti di cui è chiesto il suggellamento. I ricorrenti aggiungono che la Corte dei reclami penali non potrebbe effettuare la prima fase della cernita, poiché l'AFC non avrebbe preliminarmente spiegato né indicato i motivi per i quali i documenti elencati nei processi verbali sarebbero rilevanti per l'inchiesta. Come si è visto, questa generica censura non regge. L'AFC e la Corte dei reclami penali hanno infatti spiegato i motivi, condivisibili viste le particolarità della fattispecie, BGE 132 IV 63 S. 67 che impongono l'esame della documentazione dello studio legale. I ricorrenti, richiamando alcune pratiche, sostengono invero che le istanze precedenti non ne avrebbero spiegato la rilevanza ai sensi della prassi esposta nella sentenza 1P.32/2005 dell'11 luglio 2005. Come si è già rilevato, quella decisione concerne tuttavia un'altra fattispecie. Non occorre pertanto sospendere la procedura di levata dei sigilli, come richiesto dai ricorrenti, per invitare l'AFC a motivare ulteriormente la richiesta per ogni singolo documento. 4.5 I ricorrenti adducono che occorre offrire alla ricorrente, rispettivamente al ricorrente per i documenti del "vecchio" studio, da una parte la possibilità di indicare preventivamente il contenuto dei documenti oggetto di cernita e di precisare se gli stessi rientrano nell'attività tipica dell'avvocato e, dall'altra, il diritto di assistere e di essere sentiti in ogni fase della cernita. Certo, anche se questa facoltà non è stata espressamente indicata, la Corte dei reclami penali ha comunque sottolineato che la cernita avverrà in presenza del detentore, che potrà esprimere il suo parere. Del resto, già nella richiesta di levata dei sigilli, l'AFC chiedeva che la cernita avvenisse in presenza dei rappresentanti dei ricorrenti. 4.6 Il modo di procedere in tre fasi adottato dalla Corte dei reclami penali è conforme alla giurisprudenza (sentenza 8G.35/1999 del 22 settembre 1999, consid. 6e) e tutela anche l'interesse dei clienti dello studio legale (NIKLAUS OBERHOLZER, in: Commentario basilese, 2003, n. 22 all' art. 321 CP ; STEFAN TRECHSEL, Schweizerisches Strafgesetzbuch, Kurzkommentar, 2 a ed., Zurigo 1997, n. 34 all' art. 321 CP ). Il Tribunale federale si è già espresso sulla portata del segreto professionale dell'avvocato nell'ambito del diritto fiscale (sentenza 2A.247/2000 del 20 aprile 2001, apparsa in ASA 71 pag. 394, richiamata nel giudizio impugnato). In quella decisione, concernente l'esenzione dall'imposta sul valore aggiunto di prestazioni fornite a destinatari residenti all'estero, è stato stabilito che il detentore di un segreto professionale legalmente protetto è obbligato nell'ambito della propria procedura di tassazione fiscale, come tutti gli altri contribuenti, a collaborare; questi, invocando il segreto professionale, non può pertanto sottrarsi ai suoi obblighi di fornire informazioni e al suo dovere di dimostrazione. In quella sede è stato nondimeno rilevato che tale obbligo dev'essere adempiuto tenendo conto del principio della proporzionalità, ricordato che non è d'altra parte ammissibile insinuare fin dall'inizio nei suoi confronti l'esistenza di un abuso. È quindi stato ritenuto che la richiesta di fornire in ogni caso BGE 132 IV 63 S. 68 le prove di una esportazione di servizi, con indicazioni complete dei nomi e degli indirizzi dei clienti esteri dell'avvocato, costituisce una misura sproporzionata se le circostanze della fattispecie non destino dubbi sull'esattezza dell'autotassazione e non si sia in presenza di fondati sospetti di abuso o di un comportamento criminoso. I nomi e le indicazioni delle strade potevano quindi essere anonimizzati fino alle iniziali (sentenza citata, consid. 2; cfr. anche MICHAEL PFEIFER, in: Walter Fellmann/Gaudenz G. Zindel [editori], Kommentar zum Anwaltsgesetz, Zurigo 2005, n. 50 all' art. 13 LLCA ). La protezione dei clienti, sulla quale insistono i ricorrenti, è quindi garantita dalla procedura adottata dalla Corte dei reclami penali, visto che i nomi possono essere oscurati o sostituiti con codici (sentenza del 20 settembre 1957, consid. 4, in: ASA 26 pag. 336; sul tema vedi PETER BÖCKLI, Anwaltsgeheimnis und Fiskus im Rechtsstaat, in: SJZ 76/1980 pag. 125 segg., 128, 133 seg.; JÜRG DUBS, Der Anwalt als Steuerpflichtiger und als Drittperson im Steuerrecht, in: Das Anwaltsgeheimnis, Zurigo 1997, pag. 10 segg., in particolare pag. 14 seg., 23 segg.; JEAN-MARC RIVIER, Le secret professionnel de l'avocat, in: L'avvocato svizzero, 1993, vol. 9, pag. 15 segg.; RAMON MABILLARD, Anwaltsgeheimnis als verfassungsrechtliche Schranke für Zwangsmassnahmen, in: SJZ 101/2005 pag. 209 segg., in particolare pag. 215 segg.). La procedura adottata dalla Corte dei reclami penali non viola quindi il diritto federale. Ne segue che, riguardo al dissuggellamento, il ricorso dev'essere respinto. 5. 5.1 I ricorrenti criticano infine che la tassa di giustizia di fr. 1500.- è stata posta solidalmente a loro carico. Sostengono che il procedimento dinanzi alla Corte dei reclami penali non avrebbe comportato la loro integrale soccombenza, visto che l'AFC chiedeva l'autorizzazione a procedere essa medesima alla levata dei sigilli. La procedura in tre fasi finalmente ritenuta dall'istanza precedente corrisponderebbe in sostanza alla loro conclusione in via subordinata, per cui la soccombenza avrebbe dovuto essere ripartita proporzionalmente, con preponderanza a carico dell'autorità inquirente. 5.2 Il Tribunale federale, pronunciandosi sul mantenimento della detenzione preventiva, ha recentemente stabilito che il ricorso non era ammissibile nella misura in cui il ricorrente faceva valere d'essere stato privato del diritto di consultare l'incarto della procedura BGE 132 IV 63 S. 69 e di essere stato interrogato senza la presenza del suo avvocato: queste censure, fondate sull'asserita violazione dei diritti della difesa, esulano in effetti dall'oggetto del litigio deferibile davanti al Tribunale federale (sentenza 1S.1/2004 del 9 luglio 2004, consid. 2); ciò vale anche per l'esclusione del patrocinio di due coimputati da parte del medesimo legale, perlomeno qualora la critica non sia sollevata nell'ambito di una misura coercitiva ( DTF 131 I 52 consid. 1.2.2-1.2.5), per il suggellamento di documenti a titolo provvisorio ordinato dal Presidente della Corte dei reclami penali ( DTF 130 IV 156 consid. 1.2) e per la decisione presidenziale concernente l'effetto sospensivo (sentenza 1S.9/2004 del 23 settembre 2004, consid. 2.1). Pure la questione dell'indennità degli avvocati d'ufficio e quella sulla portata della decisione concernente l'assistenza giudiziaria non costituiscono misure coercitive (sentenza 1S.3/2004 del 13 agosto 2004, consid. 2.3; cfr. anche la sentenza 6S.15/2005 del 12 maggio 2005, consid. 2 e 3). Il Tribunale federale ha ritenuto che quando sussiste una connessione stretta e concreta tra le questioni procedurali e le misure coercitive di merito, il ricorso è nondimeno ammissibile: ciò vale segnatamente per la questione della lingua nella quale è notificata la misura coercitiva, ma non riguardo all'assunzione del procedimento, alla competenza dell'autorità inquirente e all'attribuzione interna della causa (sentenza 1S.6/2004 del 26 settembre 2005, consid. 1.1-1.3). 5.3 In una decisione, rimasta isolata, concernente soltanto la ripartizione delle spese del procedimento dinanzi alla Corte dei reclami penali perché il sequestro era divenuto privo di oggetto, il Tribunale federale ha ribadito che una siffatta vertenza non si riferiva direttamente a una misura coercitiva. Ha stabilito nondimeno che la decisione relativa alle spese era comunque accessoria a quella di merito inerente al sequestro, ossia a una misura impugnabile ai sensi dell' art. 33 cpv. 3 lett. a LTPF : ha quindi esaminato la criticata ripartizione delle spese, accogliendo il ricorso a causa di una violazione del diritto di essere sentito (1S.15/2005 del 24 maggio 2005). Questa soluzione è discutibile e si scosta dalla citata prassi. Nella fattispecie il litigio sulla questione della tassa di giustizia del Tribunale penale federale è tuttavia strettamente connesso a una misura coercitiva ed è pertanto impugnabile dinanzi al Tribunale federale (sentenza 1S.3/2004, citata, consid. 2.4). 5.4 I ricorrenti non sostengono, rettamente, che le criticate spese processuali, fissate in funzione dell'ampiezza e delle difficoltà BGE 132 IV 63 S. 70 della causa, del modo di condotta processuale e della situazione finanziaria delle parti, sarebbero eccessive. In effetti, la tassa di giustizia può ammontare davanti alla Corte dei reclami penali, di regola, fino a fr. 10'000.- (art. 1, 3 e 4 lett. c del regolamento dell'11 febbraio 2004 sulle tasse di giustizia del Tribunale penale federale [RS 173.711.32]). L'importo di fr. 1'500.-, che si situa nel limite inferiore della tassa di giustizia, tiene sufficientemente conto dell'esito della lite. Del resto i ricorrenti, richiamando l' art. 156 OG , secondo cui le spese processuali sono messe a carico della parte soccombente (cpv. 1) o ripartite proporzionalmente tra le parti quando nessuna di loro ha interamente vinto (cpv. 3), disattendono che di regola la Confederazione è dispensata dal pagamento della tassa di giustizia ( art. 156 cpv. 2 OG ; cfr. DTF 130 IV 156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